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D2" w:rsidRDefault="00C54ED2" w:rsidP="006B7444">
      <w:pPr>
        <w:ind w:right="72"/>
        <w:jc w:val="both"/>
        <w:rPr>
          <w:b/>
          <w:bCs/>
          <w:color w:val="FF0000"/>
        </w:rPr>
      </w:pPr>
      <w:r>
        <w:rPr>
          <w:b/>
          <w:bCs/>
        </w:rPr>
        <w:t xml:space="preserve">АДМИНИСТРАЦИЯ                                  </w:t>
      </w:r>
    </w:p>
    <w:p w:rsidR="00C54ED2" w:rsidRDefault="00C54ED2" w:rsidP="006B7444">
      <w:pPr>
        <w:ind w:right="-540"/>
        <w:jc w:val="both"/>
        <w:rPr>
          <w:b/>
          <w:bCs/>
          <w:color w:val="FF0000"/>
        </w:rPr>
      </w:pPr>
      <w:r>
        <w:rPr>
          <w:b/>
          <w:bCs/>
        </w:rPr>
        <w:t xml:space="preserve">      муниципального</w:t>
      </w:r>
    </w:p>
    <w:p w:rsidR="00C54ED2" w:rsidRDefault="00C54ED2" w:rsidP="006B7444">
      <w:pPr>
        <w:jc w:val="both"/>
        <w:rPr>
          <w:b/>
          <w:bCs/>
        </w:rPr>
      </w:pPr>
      <w:r>
        <w:rPr>
          <w:b/>
          <w:bCs/>
        </w:rPr>
        <w:t xml:space="preserve">         образования</w:t>
      </w:r>
    </w:p>
    <w:p w:rsidR="00C54ED2" w:rsidRDefault="00C54ED2" w:rsidP="006B7444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C54ED2" w:rsidRDefault="00C54ED2" w:rsidP="006B7444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C54ED2" w:rsidRDefault="00C54ED2" w:rsidP="006B7444">
      <w:pPr>
        <w:ind w:right="5755"/>
        <w:jc w:val="both"/>
        <w:rPr>
          <w:b/>
          <w:bCs/>
        </w:rPr>
      </w:pPr>
      <w:r>
        <w:rPr>
          <w:b/>
          <w:bCs/>
        </w:rPr>
        <w:t xml:space="preserve">  Оренбургской  области</w:t>
      </w:r>
    </w:p>
    <w:p w:rsidR="00C54ED2" w:rsidRDefault="00C54ED2" w:rsidP="006B7444">
      <w:pPr>
        <w:ind w:right="5755"/>
        <w:jc w:val="both"/>
        <w:rPr>
          <w:b/>
          <w:bCs/>
        </w:rPr>
      </w:pPr>
    </w:p>
    <w:p w:rsidR="00C54ED2" w:rsidRDefault="00C54ED2" w:rsidP="006B7444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C54ED2" w:rsidRDefault="00C54ED2" w:rsidP="006B7444">
      <w:pPr>
        <w:ind w:right="5755"/>
        <w:jc w:val="both"/>
        <w:rPr>
          <w:b/>
          <w:bCs/>
        </w:rPr>
      </w:pPr>
    </w:p>
    <w:p w:rsidR="00C54ED2" w:rsidRDefault="00C54ED2" w:rsidP="006B7444">
      <w:pPr>
        <w:ind w:right="5755"/>
        <w:jc w:val="both"/>
      </w:pPr>
      <w:r>
        <w:t xml:space="preserve">   20.06.2017 г. № 44-п.     </w:t>
      </w:r>
    </w:p>
    <w:p w:rsidR="00C54ED2" w:rsidRDefault="00C54ED2" w:rsidP="006B7444">
      <w:pPr>
        <w:ind w:right="5755"/>
        <w:jc w:val="both"/>
      </w:pPr>
      <w:r>
        <w:t xml:space="preserve">            с.Судьбодаровка</w:t>
      </w:r>
    </w:p>
    <w:p w:rsidR="00C54ED2" w:rsidRDefault="00C54ED2" w:rsidP="006B7444">
      <w:pPr>
        <w:ind w:right="5755"/>
        <w:jc w:val="both"/>
        <w:rPr>
          <w:b/>
          <w:bCs/>
        </w:rPr>
      </w:pPr>
    </w:p>
    <w:p w:rsidR="00C54ED2" w:rsidRDefault="00C54ED2" w:rsidP="006B7444">
      <w:pPr>
        <w:autoSpaceDE w:val="0"/>
        <w:autoSpaceDN w:val="0"/>
        <w:adjustRightInd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 по предоставлению муниципальной услуги«Принятие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C54ED2" w:rsidRDefault="00C54ED2" w:rsidP="006B7444">
      <w:pPr>
        <w:pStyle w:val="ConsPlusTitle"/>
        <w:ind w:right="3826"/>
        <w:jc w:val="both"/>
        <w:rPr>
          <w:b w:val="0"/>
          <w:bCs w:val="0"/>
        </w:rPr>
      </w:pPr>
    </w:p>
    <w:p w:rsidR="00C54ED2" w:rsidRDefault="00C54ED2" w:rsidP="006B7444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C54ED2" w:rsidRDefault="00C54ED2" w:rsidP="006B7444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по предоставлению муниципальной услуги «Принятие решения о подготовке на основании документов территориального планирования документации по планировке территории» согласно приложению.</w:t>
      </w:r>
    </w:p>
    <w:p w:rsidR="00C54ED2" w:rsidRDefault="00C54ED2" w:rsidP="006B7444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Ю.В. Осипов</w:t>
      </w:r>
    </w:p>
    <w:p w:rsidR="00C54ED2" w:rsidRDefault="00C54ED2" w:rsidP="006B7444">
      <w:pPr>
        <w:tabs>
          <w:tab w:val="left" w:pos="9792"/>
        </w:tabs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C54ED2" w:rsidRDefault="00C54ED2" w:rsidP="006B7444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ind w:right="5755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C54ED2" w:rsidRDefault="00C54ED2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54ED2" w:rsidRDefault="00C54ED2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C54ED2" w:rsidRDefault="00C54ED2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44-п.</w:t>
      </w:r>
    </w:p>
    <w:p w:rsidR="00C54ED2" w:rsidRDefault="00C54ED2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регулирования регламента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заявителей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</w:t>
      </w: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C54ED2" w:rsidRDefault="00C54ED2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Судьбодаровский сельсовет Новосергиевского района Оренбургской области.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461233, Оренбургская область, Новосергиевский район, село Судьбодаровка, ул. Новая, дом 3.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54ED2" w:rsidRDefault="00C54ED2" w:rsidP="001D6F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18-00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>
        <w:rPr>
          <w:sz w:val="24"/>
          <w:szCs w:val="24"/>
        </w:rPr>
        <w:t xml:space="preserve"> с 12-00 до 14-00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 (далее – официальный сайт), на информационных стендах в залах приёма заявителей в органе местного самоуправления.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7E015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Судьбодаровский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информационной доске.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54ED2" w:rsidRDefault="00C54ED2" w:rsidP="006B7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sz w:val="24"/>
          <w:szCs w:val="24"/>
          <w:lang w:eastAsia="en-US"/>
        </w:rPr>
        <w:t xml:space="preserve"> в электронной форме 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муниципальной услуги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Администрация муниципального образования Судьбодаровский сельсовет Новосергиевского района Оренбургской области (далее – орган местного самоуправления).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54ED2" w:rsidRDefault="00C54ED2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54ED2" w:rsidRDefault="00C54ED2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54ED2" w:rsidRDefault="00C54ED2" w:rsidP="006B7444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C54ED2" w:rsidRDefault="00C54ED2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54ED2" w:rsidRDefault="00C54ED2" w:rsidP="006B744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МФЦ (при наличии Соглашения о взаимодействии).</w:t>
      </w:r>
    </w:p>
    <w:p w:rsidR="00C54ED2" w:rsidRDefault="00C54ED2" w:rsidP="006B74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</w:t>
      </w:r>
    </w:p>
    <w:p w:rsidR="00C54ED2" w:rsidRDefault="00C54ED2" w:rsidP="006B74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54ED2" w:rsidRDefault="00C54ED2" w:rsidP="006B7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ED2" w:rsidRDefault="00C54ED2" w:rsidP="006B74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54ED2" w:rsidRDefault="00C54ED2" w:rsidP="006B7444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54ED2" w:rsidRDefault="00C54ED2" w:rsidP="006B744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Земельным </w:t>
      </w:r>
      <w:hyperlink r:id="rId6" w:history="1">
        <w:r>
          <w:rPr>
            <w:rStyle w:val="Hyperlink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7" w:history="1">
        <w:r>
          <w:rPr>
            <w:rStyle w:val="Hyperlink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8" w:history="1">
        <w:r>
          <w:rPr>
            <w:rStyle w:val="Hyperlink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54ED2" w:rsidRDefault="00C54ED2" w:rsidP="006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pravo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gov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54ED2" w:rsidRDefault="00C54ED2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C54ED2" w:rsidRDefault="00C54ED2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C54ED2" w:rsidRDefault="00C54ED2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C54ED2" w:rsidRDefault="00C54ED2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54ED2" w:rsidRDefault="00C54ED2" w:rsidP="006B7444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C54ED2" w:rsidRDefault="00C54ED2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C54ED2" w:rsidRDefault="00C54ED2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выписка из ЕГРЮЛ или ЕГРИП;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C54ED2" w:rsidRDefault="00C54ED2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целью получения муниципальной услуги</w:t>
      </w:r>
    </w:p>
    <w:p w:rsidR="00C54ED2" w:rsidRDefault="00C54ED2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ED2" w:rsidRDefault="00C54ED2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C54ED2" w:rsidRDefault="00C54ED2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54ED2" w:rsidRDefault="00C54ED2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C54ED2" w:rsidRDefault="00C54ED2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C54ED2" w:rsidRDefault="00C54ED2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4ED2" w:rsidRDefault="00C54ED2" w:rsidP="006B7444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C54ED2" w:rsidRDefault="00C54ED2" w:rsidP="006B7444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C54ED2" w:rsidRDefault="00C54ED2" w:rsidP="006B7444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54ED2" w:rsidRDefault="00C54ED2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приостановления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54ED2" w:rsidRDefault="00C54ED2" w:rsidP="006B7444">
      <w:pPr>
        <w:widowControl w:val="0"/>
        <w:autoSpaceDE w:val="0"/>
        <w:autoSpaceDN w:val="0"/>
        <w:outlineLvl w:val="2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Размер платы, взимаемой с заявителя при </w:t>
      </w: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предоставлении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54ED2" w:rsidRDefault="00C54ED2" w:rsidP="006B7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C54ED2" w:rsidRDefault="00C54ED2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54ED2" w:rsidRDefault="00C54ED2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54ED2" w:rsidRDefault="00C54ED2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54ED2" w:rsidRDefault="00C54ED2" w:rsidP="006B7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</w:t>
      </w:r>
    </w:p>
    <w:p w:rsidR="00C54ED2" w:rsidRDefault="00C54ED2" w:rsidP="006B7444">
      <w:pPr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54ED2" w:rsidRDefault="00C54ED2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их выполнения, в том числе особенности выполнения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).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запроса;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>
          <w:rPr>
            <w:rStyle w:val="Hyperlink"/>
            <w:sz w:val="24"/>
            <w:szCs w:val="24"/>
            <w:lang w:eastAsia="en-US"/>
          </w:rPr>
          <w:t>блок-схемой</w:t>
        </w:r>
      </w:hyperlink>
      <w:r>
        <w:rPr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заявления и документов, их регистрация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54ED2" w:rsidRDefault="00C54ED2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>
          <w:rPr>
            <w:rStyle w:val="Hyperlink"/>
            <w:sz w:val="24"/>
            <w:szCs w:val="24"/>
            <w:lang w:eastAsia="en-US"/>
          </w:rPr>
          <w:t>пунктах 19</w:t>
        </w:r>
      </w:hyperlink>
      <w:r>
        <w:rPr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54ED2" w:rsidRDefault="00C54ED2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54ED2" w:rsidRDefault="00C54ED2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Результатом выполнения административной процедуры является:</w:t>
      </w:r>
    </w:p>
    <w:p w:rsidR="00C54ED2" w:rsidRDefault="00C54ED2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54ED2" w:rsidRDefault="00C54ED2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(отказ в предоставлении муниципальной услуги)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Проект документа (постановления)  должен содержать: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вопросы, относящиеся к документации по планировке.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общественно-политической газете «Голос глубинки».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>
        <w:rPr>
          <w:b/>
          <w:bCs/>
          <w:sz w:val="24"/>
          <w:szCs w:val="24"/>
          <w:lang w:eastAsia="en-US"/>
        </w:rPr>
        <w:t xml:space="preserve"> (мотивированного отказа </w:t>
      </w:r>
      <w:r>
        <w:rPr>
          <w:b/>
          <w:bCs/>
          <w:sz w:val="24"/>
          <w:szCs w:val="24"/>
        </w:rPr>
        <w:t xml:space="preserve">в принятии решения о подготовке на основании документов территориального планирования документации 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планировке территории</w:t>
      </w:r>
      <w:r>
        <w:rPr>
          <w:b/>
          <w:bCs/>
          <w:sz w:val="24"/>
          <w:szCs w:val="24"/>
          <w:lang w:eastAsia="en-US"/>
        </w:rPr>
        <w:t>)</w:t>
      </w:r>
    </w:p>
    <w:p w:rsidR="00C54ED2" w:rsidRDefault="00C54ED2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C54ED2" w:rsidRDefault="00C54ED2" w:rsidP="006B7444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для заявителя о его праве подать жалобу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Предмет жалобы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Судьбодаровский сельсовет Новосергиевского  Оренбургской области при предоставлении муниципальной услуги.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частью 2 статьи 6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54ED2" w:rsidRDefault="00C54ED2" w:rsidP="006B7444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подачи и рассмотрения жалобы</w:t>
      </w: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85. Жалоба подаётся в письменной форме на бумажном носителе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54ED2" w:rsidRDefault="00C54ED2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461233, Оренбургская область, Новосергиевский район, село Судьбодаровка, ул. Новая, дом 3.</w:t>
      </w:r>
    </w:p>
    <w:p w:rsidR="00C54ED2" w:rsidRDefault="00C54ED2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Портал, электронный адрес: www.gosuslugi.ru.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>
          <w:rPr>
            <w:rStyle w:val="Hyperlink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Сроки рассмотрения жалобы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 рассмотрения жалобы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5" w:anchor="Par25" w:history="1">
        <w:r>
          <w:rPr>
            <w:rStyle w:val="Hyperlink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обжалования решения по жалобе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84 настоящего административного регламента.</w:t>
      </w: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C54ED2" w:rsidRDefault="00C54ED2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4ED2" w:rsidRDefault="00C54ED2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C54ED2">
        <w:tc>
          <w:tcPr>
            <w:tcW w:w="10314" w:type="dxa"/>
          </w:tcPr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C54ED2">
        <w:tc>
          <w:tcPr>
            <w:tcW w:w="10314" w:type="dxa"/>
          </w:tcPr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заявителе: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54ED2" w:rsidRDefault="00C54ED2" w:rsidP="006B7444">
      <w:pPr>
        <w:rPr>
          <w:sz w:val="24"/>
          <w:szCs w:val="24"/>
        </w:rPr>
      </w:pPr>
    </w:p>
    <w:p w:rsidR="00C54ED2" w:rsidRDefault="00C54ED2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C54ED2" w:rsidRDefault="00C54ED2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C54ED2" w:rsidRDefault="00C54ED2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6" w:history="1">
        <w:r>
          <w:rPr>
            <w:rStyle w:val="Hyperlink"/>
            <w:sz w:val="24"/>
            <w:szCs w:val="24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 xml:space="preserve"> ____________________________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C54ED2" w:rsidRDefault="00C54ED2" w:rsidP="006B744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показатели)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C54ED2" w:rsidRDefault="00C54ED2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54ED2" w:rsidRDefault="00C54ED2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54ED2" w:rsidRDefault="00C54ED2" w:rsidP="006B7444">
      <w:pPr>
        <w:ind w:firstLine="708"/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C54ED2" w:rsidRDefault="00C54ED2" w:rsidP="006B7444">
      <w:pPr>
        <w:ind w:firstLine="708"/>
        <w:jc w:val="both"/>
        <w:rPr>
          <w:sz w:val="24"/>
          <w:szCs w:val="24"/>
        </w:rPr>
      </w:pP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C54ED2" w:rsidRDefault="00C54ED2" w:rsidP="006B7444">
      <w:pPr>
        <w:ind w:firstLine="708"/>
        <w:jc w:val="both"/>
        <w:rPr>
          <w:sz w:val="24"/>
          <w:szCs w:val="24"/>
        </w:rPr>
      </w:pP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C54ED2" w:rsidRDefault="00C54ED2" w:rsidP="006B7444">
      <w:pPr>
        <w:ind w:firstLine="708"/>
        <w:jc w:val="both"/>
        <w:rPr>
          <w:sz w:val="24"/>
          <w:szCs w:val="24"/>
        </w:rPr>
      </w:pP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C54ED2" w:rsidRDefault="00C54ED2" w:rsidP="006B7444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70"/>
        <w:gridCol w:w="397"/>
        <w:gridCol w:w="2343"/>
        <w:gridCol w:w="518"/>
        <w:gridCol w:w="2943"/>
      </w:tblGrid>
      <w:tr w:rsidR="00C54ED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D2" w:rsidRDefault="00C54E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54ED2" w:rsidRDefault="00C54E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D2" w:rsidRDefault="00C54E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54ED2" w:rsidRDefault="00C54E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D2" w:rsidRDefault="00C54E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D2" w:rsidRDefault="00C54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C54ED2" w:rsidRDefault="00C54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D2" w:rsidRDefault="00C54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C54ED2" w:rsidRDefault="00C54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D2" w:rsidRDefault="00C54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</w:p>
    <w:p w:rsidR="00C54ED2" w:rsidRDefault="00C54ED2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«____» ___________ 20___ г.       </w:t>
      </w:r>
    </w:p>
    <w:p w:rsidR="00C54ED2" w:rsidRDefault="00C54ED2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М.П. </w:t>
      </w: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center"/>
        <w:rPr>
          <w:sz w:val="24"/>
          <w:szCs w:val="24"/>
        </w:rPr>
      </w:pPr>
    </w:p>
    <w:p w:rsidR="00C54ED2" w:rsidRDefault="00C54ED2" w:rsidP="006B7444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C54ED2" w:rsidRDefault="00C54ED2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C54ED2" w:rsidRDefault="00C54ED2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54ED2" w:rsidRDefault="00C54ED2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C54ED2" w:rsidRDefault="00C54ED2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54ED2" w:rsidRDefault="00C54ED2" w:rsidP="006B7444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54ED2">
        <w:tc>
          <w:tcPr>
            <w:tcW w:w="9570" w:type="dxa"/>
            <w:gridSpan w:val="7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1" o:spid="_x0000_s1026" type="#_x0000_t32" style="position:absolute;left:0;text-align:left;margin-left:387.45pt;margin-top:.6pt;width:0;height:30pt;z-index:25165824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40" o:spid="_x0000_s1027" type="#_x0000_t32" style="position:absolute;left:0;text-align:left;margin-left:234.45pt;margin-top:.6pt;width:0;height:30pt;z-index:25165926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9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2942" w:type="dxa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8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7" o:spid="_x0000_s1030" type="#_x0000_t32" style="position:absolute;left:0;text-align:left;margin-left:135pt;margin-top:15.55pt;width:22.5pt;height:0;flip:x;z-index:251662336;visibility:visible;mso-wrap-distance-top:-6e-5mm;mso-wrap-distance-bottom:-6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C54ED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6" o:spid="_x0000_s1031" type="#_x0000_t32" style="position:absolute;left:0;text-align:left;margin-left:234.45pt;margin-top:-.25pt;width:0;height:31.5pt;z-index:25166336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54ED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5" o:spid="_x0000_s1032" type="#_x0000_t32" style="position:absolute;left:0;text-align:left;margin-left:234.45pt;margin-top:-.3pt;width:0;height:30.75pt;z-index:25166438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4" o:spid="_x0000_s1033" type="#_x0000_t32" style="position:absolute;left:0;text-align:left;margin-left:234.45pt;margin-top:.55pt;width:0;height:30pt;z-index:251665408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полученных в результате межведомственного взаимодействия</w: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3" o:spid="_x0000_s1034" type="#_x0000_t32" style="position:absolute;left:0;text-align:left;margin-left:351.45pt;margin-top:-.3pt;width:.75pt;height:31.5pt;z-index:25166643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2" o:spid="_x0000_s1035" type="#_x0000_t32" style="position:absolute;left:0;text-align:left;margin-left:109.95pt;margin-top:-.3pt;width:0;height:31.5pt;z-index:25166745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4502" w:type="dxa"/>
            <w:gridSpan w:val="3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54ED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1" o:spid="_x0000_s1036" type="#_x0000_t32" style="position:absolute;left:0;text-align:left;margin-left:351.45pt;margin-top:.6pt;width:.75pt;height:30.75pt;z-index:2516684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0" o:spid="_x0000_s1037" type="#_x0000_t32" style="position:absolute;left:0;text-align:left;margin-left:109.95pt;margin-top:.6pt;width:0;height:30.75pt;z-index:25166950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4ED2">
        <w:tc>
          <w:tcPr>
            <w:tcW w:w="9570" w:type="dxa"/>
            <w:gridSpan w:val="7"/>
          </w:tcPr>
          <w:p w:rsidR="00C54ED2" w:rsidRDefault="00C54E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</w:t>
            </w:r>
          </w:p>
          <w:p w:rsidR="00C54ED2" w:rsidRDefault="00C54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54ED2" w:rsidRDefault="00C54ED2" w:rsidP="006B7444">
      <w:pPr>
        <w:ind w:firstLine="540"/>
        <w:jc w:val="both"/>
        <w:rPr>
          <w:sz w:val="24"/>
          <w:szCs w:val="24"/>
        </w:rPr>
      </w:pPr>
    </w:p>
    <w:p w:rsidR="00C54ED2" w:rsidRDefault="00C54ED2" w:rsidP="006B7444">
      <w:pPr>
        <w:ind w:firstLine="540"/>
        <w:jc w:val="both"/>
        <w:rPr>
          <w:sz w:val="24"/>
          <w:szCs w:val="24"/>
        </w:rPr>
      </w:pPr>
    </w:p>
    <w:p w:rsidR="00C54ED2" w:rsidRDefault="00C54ED2">
      <w:bookmarkStart w:id="0" w:name="_GoBack"/>
      <w:bookmarkEnd w:id="0"/>
    </w:p>
    <w:sectPr w:rsidR="00C54ED2" w:rsidSect="001C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444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C08A0"/>
    <w:rsid w:val="001D6FC8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2E77A4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B7444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D2D57"/>
    <w:rsid w:val="007E015F"/>
    <w:rsid w:val="007E49E6"/>
    <w:rsid w:val="0089013F"/>
    <w:rsid w:val="008E24E0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3CA9"/>
    <w:rsid w:val="00A74B87"/>
    <w:rsid w:val="00AA1626"/>
    <w:rsid w:val="00AC7698"/>
    <w:rsid w:val="00AD645B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54ED2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7444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B7444"/>
    <w:pPr>
      <w:ind w:left="720"/>
    </w:pPr>
  </w:style>
  <w:style w:type="paragraph" w:customStyle="1" w:styleId="ConsPlusTitle">
    <w:name w:val="ConsPlusTitle"/>
    <w:uiPriority w:val="99"/>
    <w:rsid w:val="006B74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B744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FontStyle32">
    <w:name w:val="Font Style32"/>
    <w:uiPriority w:val="99"/>
    <w:rsid w:val="006B74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mailto:srybkin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hyperlink" Target="mailto:srybkino@mail.ru" TargetMode="External"/><Relationship Id="rId15" Type="http://schemas.openxmlformats.org/officeDocument/2006/relationships/hyperlink" Target="file:///C:\Users\7272~1\AppData\Local\Temp\Rar$DI00.173\&#1055;&#1088;&#1080;&#1083;&#1086;&#1078;&#1077;&#1085;&#1080;&#1077;%204%20&#1040;&#1056;%20-%20&#1055;&#1088;&#1080;&#1085;&#1103;&#1090;&#1080;&#1077;%20&#1088;&#1077;&#1096;&#1077;&#1085;&#1080;&#1103;%20&#1087;&#1086;%20&#1087;&#1086;&#1076;&#1075;&#1086;&#1090;&#1086;&#1074;&#1082;&#1077;%20&#1076;&#1086;&#1082;%20&#1087;&#1086;%20&#1087;&#1083;&#1072;&#1085;&#1080;&#1088;&#1086;&#1074;&#1082;&#1077;%20&#1090;&#1077;&#1088;&#1088;&#1080;&#1090;&#1086;&#1088;&#1080;&#1080;.doc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24</Pages>
  <Words>9084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2017-06-19T07:22:00Z</dcterms:created>
  <dcterms:modified xsi:type="dcterms:W3CDTF">2017-06-22T05:11:00Z</dcterms:modified>
</cp:coreProperties>
</file>